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1"/>
          <w:szCs w:val="21"/>
        </w:rPr>
      </w:pPr>
      <w:r>
        <w:rPr>
          <w:rFonts w:hint="eastAsia"/>
          <w:b/>
          <w:sz w:val="36"/>
          <w:szCs w:val="36"/>
        </w:rPr>
        <w:t>仙游县公开招聘新任教师聘用审核表</w:t>
      </w:r>
    </w:p>
    <w:p>
      <w:pPr>
        <w:jc w:val="center"/>
        <w:rPr>
          <w:rFonts w:hint="eastAsia"/>
          <w:sz w:val="21"/>
          <w:szCs w:val="21"/>
        </w:rPr>
      </w:pPr>
    </w:p>
    <w:tbl>
      <w:tblPr>
        <w:tblStyle w:val="7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84"/>
        <w:gridCol w:w="867"/>
        <w:gridCol w:w="1184"/>
        <w:gridCol w:w="867"/>
        <w:gridCol w:w="867"/>
        <w:gridCol w:w="3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6" w:type="dxa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867" w:type="dxa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867" w:type="dxa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3908" w:type="dxa"/>
            <w:gridSpan w:val="2"/>
            <w:vAlign w:val="center"/>
          </w:tcPr>
          <w:p>
            <w:pPr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6" w:type="dxa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867" w:type="dxa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867" w:type="dxa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3041" w:type="dxa"/>
            <w:vAlign w:val="center"/>
          </w:tcPr>
          <w:p>
            <w:pPr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第一学历毕业院校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867" w:type="dxa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041" w:type="dxa"/>
            <w:vAlign w:val="center"/>
          </w:tcPr>
          <w:p>
            <w:pPr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0" w:type="dxa"/>
            <w:gridSpan w:val="2"/>
            <w:vAlign w:val="center"/>
          </w:tcPr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最高学历毕业院校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867" w:type="dxa"/>
            <w:vAlign w:val="center"/>
          </w:tcPr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041" w:type="dxa"/>
            <w:vAlign w:val="center"/>
          </w:tcPr>
          <w:p>
            <w:pPr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县计生部门意见</w:t>
            </w:r>
          </w:p>
        </w:tc>
        <w:tc>
          <w:tcPr>
            <w:tcW w:w="8510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</w:p>
          <w:p>
            <w:pPr>
              <w:wordWrap w:val="0"/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县计生部门（盖章）：             </w:t>
            </w:r>
          </w:p>
          <w:p>
            <w:pPr>
              <w:wordWrap w:val="0"/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县综治部门意见</w:t>
            </w:r>
          </w:p>
        </w:tc>
        <w:tc>
          <w:tcPr>
            <w:tcW w:w="8510" w:type="dxa"/>
            <w:gridSpan w:val="6"/>
            <w:vAlign w:val="top"/>
          </w:tcPr>
          <w:p>
            <w:pPr>
              <w:wordWrap w:val="0"/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ind w:right="560" w:firstLine="4080" w:firstLineChars="1700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</w:p>
          <w:p>
            <w:pPr>
              <w:wordWrap w:val="0"/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ind w:right="560" w:firstLine="4320" w:firstLineChars="1800"/>
              <w:rPr>
                <w:rFonts w:hint="eastAsia"/>
              </w:rPr>
            </w:pPr>
            <w:r>
              <w:rPr>
                <w:rFonts w:hint="eastAsia"/>
              </w:rPr>
              <w:t xml:space="preserve">县综治办（盖章）：             </w:t>
            </w:r>
          </w:p>
          <w:p>
            <w:pPr>
              <w:wordWrap w:val="0"/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widowControl/>
        <w:spacing w:line="500" w:lineRule="exact"/>
        <w:rPr>
          <w:rFonts w:hint="eastAsia"/>
        </w:rPr>
      </w:pPr>
      <w:r>
        <w:rPr>
          <w:rFonts w:hint="eastAsia"/>
        </w:rPr>
        <w:t>注：到县计生、综治部门签署意见时应提供村、乡（镇）有关计生、综治等证明材料（本表一式三份，报名时提交一份）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91" w:right="1418" w:bottom="113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426D5"/>
    <w:rsid w:val="3A9426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Verdana" w:hAnsi="Verdana" w:cs="宋体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Times New Roman" w:hAnsi="Times New Roman" w:cs="Times New Roman"/>
      <w:color w:val="auto"/>
      <w:kern w:val="2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1"/>
    <w:basedOn w:val="1"/>
    <w:link w:val="3"/>
    <w:uiPriority w:val="0"/>
    <w:pPr>
      <w:tabs>
        <w:tab w:val="left" w:pos="0"/>
      </w:tabs>
      <w:spacing w:line="360" w:lineRule="auto"/>
    </w:pPr>
    <w:rPr>
      <w:rFonts w:ascii="Times New Roman" w:hAnsi="Times New Roman" w:cs="Times New Roman"/>
      <w:color w:val="auto"/>
      <w:kern w:val="2"/>
    </w:rPr>
  </w:style>
  <w:style w:type="character" w:styleId="5">
    <w:name w:val="page number"/>
    <w:basedOn w:val="3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2018-03-10T03:33:00Z</dcterms:created>
  <dc:creator>dell</dc:creator>
  <cp:lastModifiedBy>dell</cp:lastModifiedBy>
  <dcterms:modified xsi:type="dcterms:W3CDTF">2018-03-10T03:34:12Z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